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A3" w:rsidRDefault="008611A3" w:rsidP="008611A3">
      <w:pPr>
        <w:pStyle w:val="1"/>
      </w:pPr>
      <w:r>
        <w:t>(7723-14-0)黄磷的理化及危险特性表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701"/>
        <w:gridCol w:w="2483"/>
        <w:gridCol w:w="2501"/>
      </w:tblGrid>
      <w:tr w:rsidR="008611A3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中文名：黄磷；白磷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英文名phosphorus white;phosphorus yellow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  <w:vertAlign w:val="subscript"/>
              </w:rPr>
            </w:pPr>
            <w:r>
              <w:rPr>
                <w:rFonts w:ascii="宋体" w:hAnsi="宋体" w:hint="eastAsia"/>
              </w:rPr>
              <w:t>分子式:P</w:t>
            </w:r>
            <w:r>
              <w:rPr>
                <w:rFonts w:ascii="宋体" w:hAnsi="宋体" w:hint="eastAsia"/>
                <w:vertAlign w:val="subscript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分子量:123.9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UN编号：2447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危险类别：第4.2类  自燃物品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42001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CAS号：7723-14-0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包装标志：自燃物品；剧毒品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外观与性状：无色至黄色蜡状固体，有蒜臭味，在暗处发淡绿色磷光。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 ：不溶于水，微溶于苯、氯仿，易溶于二硫化碳。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  44.1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  280.5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  1.82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  4.42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饱和蒸气压（kPa）0.13（76.6℃）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  3093.2</w:t>
            </w:r>
          </w:p>
        </w:tc>
      </w:tr>
      <w:tr w:rsidR="008611A3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  721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  —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  无意义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爆炸下限：  无意义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  无资料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  30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最小点火能：（mJ）无资料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  无资料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不稳定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燃烧分解产物：氧化磷。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避免接触的条件：受热、光照。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强氧化剂、酸类、卤素、硫。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危险特性：白磷接触空气能自燃并引起燃烧爆炸。在潮湿空气中的自燃点低于在干燥空气中的自燃点。与氯酸盐等氧化剂混合发生爆炸。其碎片和碎屑接触皮肤干燥后即着火，可引起严重的皮肤灼伤。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灭火方法：消防人员必须穿橡胶防护服、胶鞋，并佩戴过渡式防毒面具（全面罩）或自给式呼吸器灭火。灭火剂：雾状水。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 3.03mg/kg（大鼠经口）</w:t>
            </w:r>
          </w:p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8611A3" w:rsidTr="0090435F">
        <w:trPr>
          <w:cantSplit/>
          <w:trHeight w:val="325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侵入途经：吸入、食入、经皮吸收。</w:t>
            </w:r>
          </w:p>
        </w:tc>
      </w:tr>
      <w:tr w:rsidR="008611A3" w:rsidTr="0090435F">
        <w:trPr>
          <w:cantSplit/>
          <w:trHeight w:val="567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性吸入中毒表现有呼吸道剌激症状、头痛、头晕、全身无力、呕吐、心动过缓、上腹疼痛、黄疸、肝肿大。重症出现急性肝坏死、中毒性肺水肿等。口服中毒出现口腔糜烂、急性胃肠炎，甚至发生食道、胃穿孔。数天后出现肝、肾损害。重者发生肝、肾功能衰竭等。慢性中毒：神经衰弱综合症、消化功能紊乱、中毒性肝病。引起骨骼损害，尤以下颌骨显著，后期出现下颌骨坏死及齿槽萎缩。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污染的衣着，用大量流动清水冲洗。立即涂抹2%～3%硝酸银灭磷火。就医。·眼睛接触：立即提起眼睑，用大流动清水或生理盐水彻底冲冼至少15分钟。就医。·吸入：迅速脱离现场至空气新鲜处，保持呼吸道通畅。如呼吸困难给输氧。如呼吸停止，立即进行人工呼吸。就医。·食入：立即用2%硫酸铜洗胃，或用1：5000高锰酸钾洗胃。洗胃和导泻应谨慎，防止胃肠穿孔或出血。就医。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提供充分的局部排风。尽可能机械化、自动化。提供安全淋浴和洗眼设备。·呼吸系统防护：可能接触毒物时，应该佩戴自吸过滤式防毒面具（全面罩）。·眼睛防护：呼吸系统防护已作防护。·身体防护：穿胶布防毒服。·手防护：戴橡胶手套。其他：工作现场禁止吸烟、进食和饮水。工作毕，彻底清洗。实行就业前和定期的体检。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隔离泄漏污染区，限制出入。切断火源。建议应急处理人员戴自给式呼吸器，穿防毒服。不要直接接触泄漏物。小量泄漏：用水、潮湿的砂或泥土覆盖。收入金属容器并保存于水或矿物油中。大量泄漏：在专家指导下清除。 </w:t>
            </w:r>
          </w:p>
        </w:tc>
      </w:tr>
      <w:tr w:rsidR="008611A3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8611A3" w:rsidRDefault="008611A3" w:rsidP="0090435F">
            <w:pPr>
              <w:spacing w:line="28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A3" w:rsidRDefault="008611A3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保存于水中，且必须浸没在水下，隔绝空气。储存于阴凉、通风良好的仓间。远离火种、热源，防止阳光直射。应与氧化剂、H发泡剂、卤素（氟、氯、溴）、金属粉末等分开存放。切忌混储混运。应经常检查润湿剂干燥情况，必要时增加润湿剂。搬运时要轻装轻卸，防止包装及容器损坏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A3"/>
    <w:rsid w:val="008611A3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96CC4-8A66-4009-9059-FBDD1BDF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611A3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611A3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>zyhq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